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CE4DCE" w14:textId="77777777" w:rsidR="00D05E4A" w:rsidRPr="000B502F" w:rsidRDefault="00D05E4A" w:rsidP="000B502F">
      <w:pPr>
        <w:spacing w:after="0"/>
        <w:jc w:val="both"/>
        <w:rPr>
          <w:rFonts w:ascii="Times New Roman" w:hAnsi="Times New Roman" w:cs="Times New Roman"/>
        </w:rPr>
      </w:pPr>
    </w:p>
    <w:p w14:paraId="08E38CA2" w14:textId="77777777" w:rsidR="00D05E4A" w:rsidRPr="000B502F" w:rsidRDefault="00D05E4A" w:rsidP="000B502F">
      <w:pPr>
        <w:spacing w:after="0"/>
        <w:jc w:val="both"/>
        <w:rPr>
          <w:rFonts w:ascii="Times New Roman" w:hAnsi="Times New Roman" w:cs="Times New Roman"/>
        </w:rPr>
      </w:pPr>
    </w:p>
    <w:p w14:paraId="1D38648E" w14:textId="77777777" w:rsidR="00D05E4A" w:rsidRDefault="00D05E4A" w:rsidP="000B502F">
      <w:pPr>
        <w:spacing w:after="0"/>
        <w:jc w:val="both"/>
        <w:rPr>
          <w:rFonts w:ascii="Times New Roman" w:hAnsi="Times New Roman" w:cs="Times New Roman"/>
        </w:rPr>
      </w:pPr>
    </w:p>
    <w:p w14:paraId="32988BA4" w14:textId="77777777" w:rsidR="000B502F" w:rsidRDefault="000B502F" w:rsidP="000B502F">
      <w:pPr>
        <w:spacing w:after="0"/>
        <w:jc w:val="both"/>
        <w:rPr>
          <w:rFonts w:ascii="Times New Roman" w:hAnsi="Times New Roman" w:cs="Times New Roman"/>
        </w:rPr>
      </w:pPr>
    </w:p>
    <w:p w14:paraId="11D7A71A" w14:textId="77777777" w:rsidR="000B502F" w:rsidRDefault="000B502F" w:rsidP="000B502F">
      <w:pPr>
        <w:spacing w:after="0"/>
        <w:jc w:val="both"/>
        <w:rPr>
          <w:rFonts w:ascii="Times New Roman" w:hAnsi="Times New Roman" w:cs="Times New Roman"/>
        </w:rPr>
      </w:pPr>
    </w:p>
    <w:p w14:paraId="36E357BD" w14:textId="77777777" w:rsidR="000B502F" w:rsidRDefault="000B502F" w:rsidP="000B502F">
      <w:pPr>
        <w:spacing w:after="0"/>
        <w:jc w:val="both"/>
        <w:rPr>
          <w:rFonts w:ascii="Times New Roman" w:hAnsi="Times New Roman" w:cs="Times New Roman"/>
        </w:rPr>
      </w:pPr>
    </w:p>
    <w:p w14:paraId="6ACAF409" w14:textId="77777777" w:rsidR="000B502F" w:rsidRDefault="000B502F" w:rsidP="000B502F">
      <w:pPr>
        <w:spacing w:after="0"/>
        <w:jc w:val="both"/>
        <w:rPr>
          <w:rFonts w:ascii="Times New Roman" w:hAnsi="Times New Roman" w:cs="Times New Roman"/>
        </w:rPr>
      </w:pPr>
    </w:p>
    <w:p w14:paraId="4BA7211A" w14:textId="77777777" w:rsidR="000B502F" w:rsidRDefault="000B502F" w:rsidP="000B502F">
      <w:pPr>
        <w:spacing w:after="0"/>
        <w:jc w:val="both"/>
        <w:rPr>
          <w:rFonts w:ascii="Times New Roman" w:hAnsi="Times New Roman" w:cs="Times New Roman"/>
        </w:rPr>
      </w:pPr>
    </w:p>
    <w:p w14:paraId="541779F6" w14:textId="77777777" w:rsidR="000B502F" w:rsidRDefault="000B502F" w:rsidP="000B502F">
      <w:pPr>
        <w:spacing w:after="0"/>
        <w:jc w:val="both"/>
        <w:rPr>
          <w:rFonts w:ascii="Times New Roman" w:hAnsi="Times New Roman" w:cs="Times New Roman"/>
        </w:rPr>
      </w:pPr>
    </w:p>
    <w:p w14:paraId="7DB56E92" w14:textId="77777777" w:rsidR="000B502F" w:rsidRDefault="000B502F" w:rsidP="000B502F">
      <w:pPr>
        <w:spacing w:after="0"/>
        <w:jc w:val="both"/>
        <w:rPr>
          <w:rFonts w:ascii="Times New Roman" w:hAnsi="Times New Roman" w:cs="Times New Roman"/>
        </w:rPr>
      </w:pPr>
    </w:p>
    <w:p w14:paraId="5BBD1819" w14:textId="77777777" w:rsidR="000B502F" w:rsidRPr="000B502F" w:rsidRDefault="000B502F" w:rsidP="000B502F">
      <w:pPr>
        <w:spacing w:after="0"/>
        <w:jc w:val="both"/>
        <w:rPr>
          <w:rFonts w:ascii="Times New Roman" w:hAnsi="Times New Roman" w:cs="Times New Roman"/>
        </w:rPr>
      </w:pPr>
    </w:p>
    <w:p w14:paraId="32DA926E" w14:textId="77777777" w:rsidR="00D05E4A" w:rsidRPr="000B502F" w:rsidRDefault="00D05E4A" w:rsidP="000B502F">
      <w:pPr>
        <w:spacing w:after="0"/>
        <w:jc w:val="both"/>
        <w:rPr>
          <w:rFonts w:ascii="Times New Roman" w:hAnsi="Times New Roman" w:cs="Times New Roman"/>
          <w:sz w:val="36"/>
          <w:szCs w:val="36"/>
        </w:rPr>
      </w:pPr>
    </w:p>
    <w:p w14:paraId="092832FD" w14:textId="00526D53" w:rsidR="00C10402" w:rsidRPr="000B502F" w:rsidRDefault="00D05E4A" w:rsidP="000B502F">
      <w:pPr>
        <w:spacing w:after="0"/>
        <w:jc w:val="center"/>
        <w:rPr>
          <w:rFonts w:ascii="Times New Roman" w:hAnsi="Times New Roman" w:cs="Times New Roman"/>
        </w:rPr>
      </w:pPr>
      <w:r w:rsidRPr="000B502F">
        <w:rPr>
          <w:rFonts w:ascii="Times New Roman" w:hAnsi="Times New Roman" w:cs="Times New Roman"/>
          <w:b/>
          <w:bCs/>
          <w:sz w:val="36"/>
          <w:szCs w:val="36"/>
        </w:rPr>
        <w:t xml:space="preserve">ARCHIVAL POLICY ON DISCLOSURES </w:t>
      </w:r>
    </w:p>
    <w:p w14:paraId="2BAD6DFC" w14:textId="376114AB" w:rsidR="00C10402" w:rsidRPr="000B502F" w:rsidRDefault="00C10402" w:rsidP="000B502F">
      <w:pPr>
        <w:spacing w:after="0"/>
        <w:jc w:val="both"/>
        <w:rPr>
          <w:rFonts w:ascii="Times New Roman" w:hAnsi="Times New Roman" w:cs="Times New Roman"/>
        </w:rPr>
      </w:pPr>
      <w:r w:rsidRPr="000B502F">
        <w:rPr>
          <w:rFonts w:ascii="Times New Roman" w:hAnsi="Times New Roman" w:cs="Times New Roman"/>
        </w:rPr>
        <w:br w:type="page"/>
      </w:r>
    </w:p>
    <w:p w14:paraId="6859BBA9" w14:textId="77777777" w:rsidR="00C10402" w:rsidRDefault="00C10402" w:rsidP="000B502F">
      <w:pPr>
        <w:spacing w:after="0"/>
        <w:jc w:val="both"/>
        <w:rPr>
          <w:rFonts w:ascii="Times New Roman" w:hAnsi="Times New Roman" w:cs="Times New Roman"/>
          <w:b/>
          <w:bCs/>
        </w:rPr>
      </w:pPr>
      <w:r w:rsidRPr="000B502F">
        <w:rPr>
          <w:rFonts w:ascii="Times New Roman" w:hAnsi="Times New Roman" w:cs="Times New Roman"/>
          <w:b/>
          <w:bCs/>
        </w:rPr>
        <w:lastRenderedPageBreak/>
        <w:t>1. Preface</w:t>
      </w:r>
    </w:p>
    <w:p w14:paraId="31ECCA0F" w14:textId="77777777" w:rsidR="000B502F" w:rsidRPr="000B502F" w:rsidRDefault="000B502F" w:rsidP="000B502F">
      <w:pPr>
        <w:spacing w:after="0"/>
        <w:jc w:val="both"/>
        <w:rPr>
          <w:rFonts w:ascii="Times New Roman" w:hAnsi="Times New Roman" w:cs="Times New Roman"/>
          <w:b/>
          <w:bCs/>
        </w:rPr>
      </w:pPr>
    </w:p>
    <w:p w14:paraId="7144EE58" w14:textId="4F8663E2" w:rsidR="00C10402" w:rsidRDefault="00C10402" w:rsidP="000B502F">
      <w:pPr>
        <w:spacing w:after="0"/>
        <w:jc w:val="both"/>
        <w:rPr>
          <w:rFonts w:ascii="Times New Roman" w:hAnsi="Times New Roman" w:cs="Times New Roman"/>
        </w:rPr>
      </w:pPr>
      <w:r w:rsidRPr="000B502F">
        <w:rPr>
          <w:rFonts w:ascii="Times New Roman" w:hAnsi="Times New Roman" w:cs="Times New Roman"/>
        </w:rPr>
        <w:t xml:space="preserve">In pursuance of the Securities and Exchange Board of India (Listing Obligations and Disclosure Requirements) Regulations, 2015 (“Listing Obligations”), </w:t>
      </w:r>
      <w:r w:rsidR="00AE2D4A" w:rsidRPr="00AE2D4A">
        <w:rPr>
          <w:rFonts w:ascii="Times New Roman" w:hAnsi="Times New Roman" w:cs="Times New Roman"/>
          <w:b/>
        </w:rPr>
        <w:t>M/s</w:t>
      </w:r>
      <w:r w:rsidR="00AE2D4A">
        <w:rPr>
          <w:rFonts w:ascii="Times New Roman" w:hAnsi="Times New Roman" w:cs="Times New Roman"/>
        </w:rPr>
        <w:t xml:space="preserve">. </w:t>
      </w:r>
      <w:r w:rsidR="000B502F">
        <w:rPr>
          <w:rFonts w:ascii="Times New Roman" w:hAnsi="Times New Roman" w:cs="Times New Roman"/>
          <w:b/>
          <w:bCs/>
        </w:rPr>
        <w:t>TURNER INDUSTRIES LIMITED</w:t>
      </w:r>
      <w:r w:rsidRPr="000B502F">
        <w:rPr>
          <w:rFonts w:ascii="Times New Roman" w:hAnsi="Times New Roman" w:cs="Times New Roman"/>
          <w:b/>
          <w:bCs/>
        </w:rPr>
        <w:t xml:space="preserve"> (“the Company”)</w:t>
      </w:r>
      <w:r w:rsidRPr="000B502F">
        <w:rPr>
          <w:rFonts w:ascii="Times New Roman" w:hAnsi="Times New Roman" w:cs="Times New Roman"/>
        </w:rPr>
        <w:t xml:space="preserve"> is required to disclose on its website all such events or information which has been disclosed to stock exchanges where the securities of the Company are listed (“Sock Exchanges”) under Regulation 30 of Listing Regulations.</w:t>
      </w:r>
    </w:p>
    <w:p w14:paraId="690DBAB6" w14:textId="77777777" w:rsidR="000B502F" w:rsidRPr="000B502F" w:rsidRDefault="000B502F" w:rsidP="000B502F">
      <w:pPr>
        <w:spacing w:after="0"/>
        <w:jc w:val="both"/>
        <w:rPr>
          <w:rFonts w:ascii="Times New Roman" w:hAnsi="Times New Roman" w:cs="Times New Roman"/>
        </w:rPr>
      </w:pPr>
    </w:p>
    <w:p w14:paraId="0904A84B" w14:textId="2A853F9B" w:rsidR="00C10402" w:rsidRDefault="00C10402" w:rsidP="000B502F">
      <w:pPr>
        <w:spacing w:after="0"/>
        <w:jc w:val="both"/>
        <w:rPr>
          <w:rFonts w:ascii="Times New Roman" w:hAnsi="Times New Roman" w:cs="Times New Roman"/>
        </w:rPr>
      </w:pPr>
      <w:r w:rsidRPr="000B502F">
        <w:rPr>
          <w:rFonts w:ascii="Times New Roman" w:hAnsi="Times New Roman" w:cs="Times New Roman"/>
        </w:rPr>
        <w:t>Further, such disclosures shall be hosted on the website of the Company for a minimum period of 5 years and thereafter as per the archival policy of the Company, as disclosed on its website. Accordingly, the Company has adopted this “Archival Policy on disclosures to be hosted from time to time on the website of the Company” (“Policy”).</w:t>
      </w:r>
    </w:p>
    <w:p w14:paraId="0143395D" w14:textId="77777777" w:rsidR="000B502F" w:rsidRPr="000B502F" w:rsidRDefault="000B502F" w:rsidP="000B502F">
      <w:pPr>
        <w:spacing w:after="0"/>
        <w:jc w:val="both"/>
        <w:rPr>
          <w:rFonts w:ascii="Times New Roman" w:hAnsi="Times New Roman" w:cs="Times New Roman"/>
        </w:rPr>
      </w:pPr>
    </w:p>
    <w:p w14:paraId="7DA9D4FC" w14:textId="77777777" w:rsidR="0092206F" w:rsidRDefault="0092206F" w:rsidP="000B502F">
      <w:pPr>
        <w:spacing w:after="0"/>
        <w:jc w:val="both"/>
        <w:rPr>
          <w:rFonts w:ascii="Times New Roman" w:hAnsi="Times New Roman" w:cs="Times New Roman"/>
          <w:b/>
          <w:bCs/>
        </w:rPr>
      </w:pPr>
      <w:r w:rsidRPr="000B502F">
        <w:rPr>
          <w:rFonts w:ascii="Times New Roman" w:hAnsi="Times New Roman" w:cs="Times New Roman"/>
          <w:b/>
          <w:bCs/>
        </w:rPr>
        <w:t>2. Objectives</w:t>
      </w:r>
    </w:p>
    <w:p w14:paraId="0DB05591" w14:textId="77777777" w:rsidR="000B502F" w:rsidRPr="000B502F" w:rsidRDefault="000B502F" w:rsidP="000B502F">
      <w:pPr>
        <w:spacing w:after="0"/>
        <w:jc w:val="both"/>
        <w:rPr>
          <w:rFonts w:ascii="Times New Roman" w:hAnsi="Times New Roman" w:cs="Times New Roman"/>
          <w:b/>
          <w:bCs/>
        </w:rPr>
      </w:pPr>
    </w:p>
    <w:p w14:paraId="3C652E23" w14:textId="7513C608" w:rsidR="0092206F" w:rsidRDefault="0092206F" w:rsidP="000B502F">
      <w:pPr>
        <w:spacing w:after="0"/>
        <w:jc w:val="both"/>
        <w:rPr>
          <w:rFonts w:ascii="Times New Roman" w:hAnsi="Times New Roman" w:cs="Times New Roman"/>
        </w:rPr>
      </w:pPr>
      <w:r w:rsidRPr="000B502F">
        <w:rPr>
          <w:rFonts w:ascii="Times New Roman" w:hAnsi="Times New Roman" w:cs="Times New Roman"/>
        </w:rPr>
        <w:t>The Objective of this policy is to comply with the provisions of Regulation 30(8) of the Listing Obligations, as mentioned below:</w:t>
      </w:r>
    </w:p>
    <w:p w14:paraId="6F6DC69F" w14:textId="77777777" w:rsidR="000B502F" w:rsidRPr="000B502F" w:rsidRDefault="000B502F" w:rsidP="000B502F">
      <w:pPr>
        <w:spacing w:after="0"/>
        <w:jc w:val="both"/>
        <w:rPr>
          <w:rFonts w:ascii="Times New Roman" w:hAnsi="Times New Roman" w:cs="Times New Roman"/>
        </w:rPr>
      </w:pPr>
    </w:p>
    <w:p w14:paraId="49C5DA0D" w14:textId="618388F3" w:rsidR="00C10402" w:rsidRDefault="0092206F" w:rsidP="000B502F">
      <w:pPr>
        <w:spacing w:after="0"/>
        <w:jc w:val="both"/>
        <w:rPr>
          <w:rFonts w:ascii="Times New Roman" w:hAnsi="Times New Roman" w:cs="Times New Roman"/>
        </w:rPr>
      </w:pPr>
      <w:r w:rsidRPr="000B502F">
        <w:rPr>
          <w:rFonts w:ascii="Times New Roman" w:hAnsi="Times New Roman" w:cs="Times New Roman"/>
        </w:rPr>
        <w:t xml:space="preserve">“The Listed entity shall disclose on its website all such events or information which has been disclosed to stock exchange(s) under this regulation, and such disclosures shall be hosted on the website of the listed entity for a minimum period of </w:t>
      </w:r>
      <w:r w:rsidR="004950BE" w:rsidRPr="000B502F">
        <w:rPr>
          <w:rFonts w:ascii="Times New Roman" w:hAnsi="Times New Roman" w:cs="Times New Roman"/>
        </w:rPr>
        <w:t xml:space="preserve">5 </w:t>
      </w:r>
      <w:r w:rsidRPr="000B502F">
        <w:rPr>
          <w:rFonts w:ascii="Times New Roman" w:hAnsi="Times New Roman" w:cs="Times New Roman"/>
        </w:rPr>
        <w:t>years and thereafter as per the archival policy of the listed entity, as disclosed on its website.”</w:t>
      </w:r>
    </w:p>
    <w:p w14:paraId="2FCA6358" w14:textId="77777777" w:rsidR="000B502F" w:rsidRPr="000B502F" w:rsidRDefault="000B502F" w:rsidP="000B502F">
      <w:pPr>
        <w:spacing w:after="0"/>
        <w:jc w:val="both"/>
        <w:rPr>
          <w:rFonts w:ascii="Times New Roman" w:hAnsi="Times New Roman" w:cs="Times New Roman"/>
        </w:rPr>
      </w:pPr>
    </w:p>
    <w:p w14:paraId="7AF520C3" w14:textId="77777777" w:rsidR="008C1FA0" w:rsidRDefault="008C1FA0" w:rsidP="000B502F">
      <w:pPr>
        <w:spacing w:after="0"/>
        <w:jc w:val="both"/>
        <w:rPr>
          <w:rFonts w:ascii="Times New Roman" w:hAnsi="Times New Roman" w:cs="Times New Roman"/>
          <w:b/>
          <w:bCs/>
        </w:rPr>
      </w:pPr>
      <w:r w:rsidRPr="000B502F">
        <w:rPr>
          <w:rFonts w:ascii="Times New Roman" w:hAnsi="Times New Roman" w:cs="Times New Roman"/>
          <w:b/>
          <w:bCs/>
        </w:rPr>
        <w:t>3. Archival Policy</w:t>
      </w:r>
    </w:p>
    <w:p w14:paraId="1F4EF2DD" w14:textId="77777777" w:rsidR="000B502F" w:rsidRPr="000B502F" w:rsidRDefault="000B502F" w:rsidP="000B502F">
      <w:pPr>
        <w:spacing w:after="0"/>
        <w:jc w:val="both"/>
        <w:rPr>
          <w:rFonts w:ascii="Times New Roman" w:hAnsi="Times New Roman" w:cs="Times New Roman"/>
          <w:b/>
          <w:bCs/>
        </w:rPr>
      </w:pPr>
    </w:p>
    <w:p w14:paraId="13B128A1" w14:textId="2D798866" w:rsidR="008C1FA0" w:rsidRDefault="008C1FA0" w:rsidP="000B502F">
      <w:pPr>
        <w:spacing w:after="0"/>
        <w:jc w:val="both"/>
        <w:rPr>
          <w:rFonts w:ascii="Times New Roman" w:hAnsi="Times New Roman" w:cs="Times New Roman"/>
        </w:rPr>
      </w:pPr>
      <w:r w:rsidRPr="000B502F">
        <w:rPr>
          <w:rFonts w:ascii="Times New Roman" w:hAnsi="Times New Roman" w:cs="Times New Roman"/>
        </w:rPr>
        <w:t>All the disclosures made by the Company to the Stock Exchanges under Regulation 30 of the Listing Regulations, shall be hosted on the website of the Company for a minimum period of 5 years.</w:t>
      </w:r>
    </w:p>
    <w:p w14:paraId="3743C4EF" w14:textId="77777777" w:rsidR="000B502F" w:rsidRPr="000B502F" w:rsidRDefault="000B502F" w:rsidP="000B502F">
      <w:pPr>
        <w:spacing w:after="0"/>
        <w:jc w:val="both"/>
        <w:rPr>
          <w:rFonts w:ascii="Times New Roman" w:hAnsi="Times New Roman" w:cs="Times New Roman"/>
        </w:rPr>
      </w:pPr>
    </w:p>
    <w:p w14:paraId="2213D007" w14:textId="7A6AFD91" w:rsidR="008C1FA0" w:rsidRDefault="008C1FA0" w:rsidP="000B502F">
      <w:pPr>
        <w:spacing w:after="0"/>
        <w:jc w:val="both"/>
        <w:rPr>
          <w:rFonts w:ascii="Times New Roman" w:hAnsi="Times New Roman" w:cs="Times New Roman"/>
        </w:rPr>
      </w:pPr>
      <w:bookmarkStart w:id="0" w:name="_GoBack"/>
      <w:r w:rsidRPr="000B502F">
        <w:rPr>
          <w:rFonts w:ascii="Times New Roman" w:hAnsi="Times New Roman" w:cs="Times New Roman"/>
        </w:rPr>
        <w:t>Disclosed Information which are over 5 (five) years shall be kept in the archives of the Company for a period of 1 year. Anyone intending to review that disclosed Information may write to the Compliance Of</w:t>
      </w:r>
      <w:r w:rsidR="009338E8" w:rsidRPr="000B502F">
        <w:rPr>
          <w:rFonts w:ascii="Times New Roman" w:eastAsia="Aptos" w:hAnsi="Times New Roman" w:cs="Times New Roman"/>
        </w:rPr>
        <w:t>f</w:t>
      </w:r>
      <w:r w:rsidRPr="000B502F">
        <w:rPr>
          <w:rFonts w:ascii="Times New Roman" w:hAnsi="Times New Roman" w:cs="Times New Roman"/>
        </w:rPr>
        <w:t>icer of the Company.</w:t>
      </w:r>
    </w:p>
    <w:bookmarkEnd w:id="0"/>
    <w:p w14:paraId="66E844A0" w14:textId="77777777" w:rsidR="000B502F" w:rsidRPr="000B502F" w:rsidRDefault="000B502F" w:rsidP="000B502F">
      <w:pPr>
        <w:spacing w:after="0"/>
        <w:jc w:val="both"/>
        <w:rPr>
          <w:rFonts w:ascii="Times New Roman" w:hAnsi="Times New Roman" w:cs="Times New Roman"/>
        </w:rPr>
      </w:pPr>
    </w:p>
    <w:p w14:paraId="4AC0A5E5" w14:textId="75BE58C7" w:rsidR="004950BE" w:rsidRDefault="008C1FA0" w:rsidP="000B502F">
      <w:pPr>
        <w:spacing w:after="0"/>
        <w:jc w:val="both"/>
        <w:rPr>
          <w:rFonts w:ascii="Times New Roman" w:hAnsi="Times New Roman" w:cs="Times New Roman"/>
        </w:rPr>
      </w:pPr>
      <w:r w:rsidRPr="000B502F">
        <w:rPr>
          <w:rFonts w:ascii="Times New Roman" w:hAnsi="Times New Roman" w:cs="Times New Roman"/>
        </w:rPr>
        <w:t>In case the aforesaid disclosures are required by any applicable law or regulation to be hosted for a period longer than that mentioned above, such disclosures shall be hosted on the website of the company for such longer period.</w:t>
      </w:r>
    </w:p>
    <w:p w14:paraId="7202BA10" w14:textId="77777777" w:rsidR="000B502F" w:rsidRPr="000B502F" w:rsidRDefault="000B502F" w:rsidP="000B502F">
      <w:pPr>
        <w:spacing w:after="0"/>
        <w:jc w:val="both"/>
        <w:rPr>
          <w:rFonts w:ascii="Times New Roman" w:hAnsi="Times New Roman" w:cs="Times New Roman"/>
        </w:rPr>
      </w:pPr>
    </w:p>
    <w:p w14:paraId="69A5AF5B" w14:textId="77777777" w:rsidR="00970FC1" w:rsidRDefault="00970FC1" w:rsidP="000B502F">
      <w:pPr>
        <w:spacing w:after="0"/>
        <w:jc w:val="both"/>
        <w:rPr>
          <w:rFonts w:ascii="Times New Roman" w:hAnsi="Times New Roman" w:cs="Times New Roman"/>
          <w:b/>
          <w:bCs/>
        </w:rPr>
      </w:pPr>
      <w:r w:rsidRPr="000B502F">
        <w:rPr>
          <w:rFonts w:ascii="Times New Roman" w:hAnsi="Times New Roman" w:cs="Times New Roman"/>
          <w:b/>
          <w:bCs/>
        </w:rPr>
        <w:t>4. Communication of this policy</w:t>
      </w:r>
    </w:p>
    <w:p w14:paraId="04AD154F" w14:textId="77777777" w:rsidR="000B502F" w:rsidRPr="000B502F" w:rsidRDefault="000B502F" w:rsidP="000B502F">
      <w:pPr>
        <w:spacing w:after="0"/>
        <w:jc w:val="both"/>
        <w:rPr>
          <w:rFonts w:ascii="Times New Roman" w:hAnsi="Times New Roman" w:cs="Times New Roman"/>
          <w:b/>
          <w:bCs/>
        </w:rPr>
      </w:pPr>
    </w:p>
    <w:p w14:paraId="14CD51BB" w14:textId="65C63884" w:rsidR="00C63A3E" w:rsidRPr="000B502F" w:rsidRDefault="00970FC1" w:rsidP="000B502F">
      <w:pPr>
        <w:spacing w:after="0"/>
        <w:jc w:val="both"/>
        <w:rPr>
          <w:rFonts w:ascii="Times New Roman" w:hAnsi="Times New Roman" w:cs="Times New Roman"/>
        </w:rPr>
      </w:pPr>
      <w:r w:rsidRPr="000B502F">
        <w:rPr>
          <w:rFonts w:ascii="Times New Roman" w:hAnsi="Times New Roman" w:cs="Times New Roman"/>
        </w:rPr>
        <w:t xml:space="preserve">For all new Employees and Directors, a copy of this Policy shall be handed over as a part of the joining documentation, along with other related policies. For all existing Employees and Directors, a copy of this Policy shall be handed over within one month of the adoption of this </w:t>
      </w:r>
      <w:r w:rsidRPr="000B502F">
        <w:rPr>
          <w:rFonts w:ascii="Times New Roman" w:hAnsi="Times New Roman" w:cs="Times New Roman"/>
        </w:rPr>
        <w:lastRenderedPageBreak/>
        <w:t>Policy by the Board of Directors of the Company. This Policy shall also be posted on the website of the Company.</w:t>
      </w:r>
    </w:p>
    <w:p w14:paraId="2C8EA610" w14:textId="77777777" w:rsidR="000B502F" w:rsidRDefault="000B502F" w:rsidP="000B502F">
      <w:pPr>
        <w:spacing w:after="0"/>
        <w:rPr>
          <w:rFonts w:ascii="Times New Roman" w:hAnsi="Times New Roman" w:cs="Times New Roman"/>
        </w:rPr>
      </w:pPr>
    </w:p>
    <w:p w14:paraId="03674560" w14:textId="60D6D3F7" w:rsidR="007E3CF6" w:rsidRDefault="007E3CF6" w:rsidP="000B502F">
      <w:pPr>
        <w:spacing w:after="0"/>
        <w:rPr>
          <w:rFonts w:ascii="Times New Roman" w:hAnsi="Times New Roman" w:cs="Times New Roman"/>
          <w:b/>
          <w:bCs/>
        </w:rPr>
      </w:pPr>
      <w:r w:rsidRPr="000B502F">
        <w:rPr>
          <w:rFonts w:ascii="Times New Roman" w:hAnsi="Times New Roman" w:cs="Times New Roman"/>
          <w:b/>
          <w:bCs/>
        </w:rPr>
        <w:t>5. Amendment</w:t>
      </w:r>
    </w:p>
    <w:p w14:paraId="597B52A2" w14:textId="77777777" w:rsidR="000B502F" w:rsidRPr="000B502F" w:rsidRDefault="000B502F" w:rsidP="000B502F">
      <w:pPr>
        <w:spacing w:after="0"/>
        <w:rPr>
          <w:rFonts w:ascii="Times New Roman" w:hAnsi="Times New Roman" w:cs="Times New Roman"/>
          <w:b/>
          <w:bCs/>
        </w:rPr>
      </w:pPr>
    </w:p>
    <w:p w14:paraId="0BCBEEFF" w14:textId="77777777" w:rsidR="009B1175" w:rsidRDefault="007E3CF6" w:rsidP="000B502F">
      <w:pPr>
        <w:spacing w:after="0"/>
        <w:jc w:val="both"/>
        <w:rPr>
          <w:rFonts w:ascii="Times New Roman" w:hAnsi="Times New Roman" w:cs="Times New Roman"/>
        </w:rPr>
      </w:pPr>
      <w:r w:rsidRPr="000B502F">
        <w:rPr>
          <w:rFonts w:ascii="Times New Roman" w:hAnsi="Times New Roman" w:cs="Times New Roman"/>
        </w:rPr>
        <w:t xml:space="preserve">Any Change in the policy shall be approved by the Board of Directors of the Company. The Board of Directors shall have the right to withdraw and/or amend any part of this policy or the entire Policy, at any time, as it deems fit, or from time to time, and the decision of the Board in this respect shall be final and binding. </w:t>
      </w:r>
    </w:p>
    <w:p w14:paraId="761D55D5" w14:textId="77777777" w:rsidR="000B502F" w:rsidRPr="00716E52" w:rsidRDefault="000B502F" w:rsidP="000B502F">
      <w:pPr>
        <w:spacing w:after="0"/>
        <w:jc w:val="both"/>
        <w:rPr>
          <w:rFonts w:ascii="Times New Roman" w:hAnsi="Times New Roman" w:cs="Times New Roman"/>
        </w:rPr>
      </w:pPr>
    </w:p>
    <w:p w14:paraId="12D739A8" w14:textId="3B4029EA" w:rsidR="009B1175" w:rsidRDefault="009B1175" w:rsidP="000B502F">
      <w:pPr>
        <w:spacing w:after="0"/>
        <w:jc w:val="both"/>
        <w:rPr>
          <w:rFonts w:ascii="Times New Roman" w:hAnsi="Times New Roman" w:cs="Times New Roman"/>
        </w:rPr>
      </w:pPr>
      <w:r w:rsidRPr="000B502F">
        <w:rPr>
          <w:rFonts w:ascii="Times New Roman" w:hAnsi="Times New Roman" w:cs="Times New Roman"/>
        </w:rPr>
        <w:t xml:space="preserve">Any amendment in the policy shall be disclosed on the website of the Company pursuant to approval of Board of Directors of the Company. </w:t>
      </w:r>
    </w:p>
    <w:p w14:paraId="728FDF5C" w14:textId="77777777" w:rsidR="000B502F" w:rsidRPr="000B502F" w:rsidRDefault="000B502F" w:rsidP="000B502F">
      <w:pPr>
        <w:spacing w:after="0"/>
        <w:jc w:val="both"/>
        <w:rPr>
          <w:rFonts w:ascii="Times New Roman" w:hAnsi="Times New Roman" w:cs="Times New Roman"/>
        </w:rPr>
      </w:pPr>
    </w:p>
    <w:p w14:paraId="7E6D7CFB" w14:textId="6640DB93" w:rsidR="009B1175" w:rsidRPr="000B502F" w:rsidRDefault="007E3CF6" w:rsidP="000B502F">
      <w:pPr>
        <w:spacing w:after="0"/>
        <w:jc w:val="both"/>
        <w:rPr>
          <w:rFonts w:ascii="Times New Roman" w:hAnsi="Times New Roman" w:cs="Times New Roman"/>
        </w:rPr>
      </w:pPr>
      <w:r w:rsidRPr="000B502F">
        <w:rPr>
          <w:rFonts w:ascii="Times New Roman" w:hAnsi="Times New Roman" w:cs="Times New Roman"/>
        </w:rPr>
        <w:t>In case any provision of this policy is contrary to or inconsistent with the provisions of the Companies Act, 2013, rules framed there under and Listing Regulations (“Statutory Provisions”), the provisions of Statutory Provisions shall prevail</w:t>
      </w:r>
      <w:r w:rsidR="000B502F">
        <w:rPr>
          <w:rFonts w:ascii="Times New Roman" w:hAnsi="Times New Roman" w:cs="Times New Roman"/>
        </w:rPr>
        <w:t xml:space="preserve">. </w:t>
      </w:r>
    </w:p>
    <w:sectPr w:rsidR="009B1175" w:rsidRPr="000B502F" w:rsidSect="000B502F">
      <w:pgSz w:w="11906" w:h="16838"/>
      <w:pgMar w:top="1440" w:right="1440" w:bottom="1440" w:left="144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E4A"/>
    <w:rsid w:val="0002506A"/>
    <w:rsid w:val="000B502F"/>
    <w:rsid w:val="000F0E70"/>
    <w:rsid w:val="001C41A6"/>
    <w:rsid w:val="004950BE"/>
    <w:rsid w:val="004C42BD"/>
    <w:rsid w:val="00594568"/>
    <w:rsid w:val="00647B87"/>
    <w:rsid w:val="0075535B"/>
    <w:rsid w:val="00785F3C"/>
    <w:rsid w:val="007E3CF6"/>
    <w:rsid w:val="00811A99"/>
    <w:rsid w:val="008666EE"/>
    <w:rsid w:val="008C1FA0"/>
    <w:rsid w:val="0092206F"/>
    <w:rsid w:val="009338E8"/>
    <w:rsid w:val="00970FC1"/>
    <w:rsid w:val="009B1175"/>
    <w:rsid w:val="00A6362F"/>
    <w:rsid w:val="00AB7466"/>
    <w:rsid w:val="00AE2D4A"/>
    <w:rsid w:val="00B12E6A"/>
    <w:rsid w:val="00C01C2B"/>
    <w:rsid w:val="00C10402"/>
    <w:rsid w:val="00C240F0"/>
    <w:rsid w:val="00C63A3E"/>
    <w:rsid w:val="00C72CC5"/>
    <w:rsid w:val="00CD0ED5"/>
    <w:rsid w:val="00D05E4A"/>
    <w:rsid w:val="00D55F96"/>
    <w:rsid w:val="00D87A81"/>
    <w:rsid w:val="00E60098"/>
    <w:rsid w:val="00F21456"/>
    <w:rsid w:val="00F7268C"/>
    <w:rsid w:val="00FD15BE"/>
    <w:rsid w:val="00FD5E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6E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5E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E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E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E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E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E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E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E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E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E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E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E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E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E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E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E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E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E4A"/>
    <w:rPr>
      <w:rFonts w:eastAsiaTheme="majorEastAsia" w:cstheme="majorBidi"/>
      <w:color w:val="272727" w:themeColor="text1" w:themeTint="D8"/>
    </w:rPr>
  </w:style>
  <w:style w:type="paragraph" w:styleId="Title">
    <w:name w:val="Title"/>
    <w:basedOn w:val="Normal"/>
    <w:next w:val="Normal"/>
    <w:link w:val="TitleChar"/>
    <w:uiPriority w:val="10"/>
    <w:qFormat/>
    <w:rsid w:val="00D05E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E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E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E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E4A"/>
    <w:pPr>
      <w:spacing w:before="160"/>
      <w:jc w:val="center"/>
    </w:pPr>
    <w:rPr>
      <w:i/>
      <w:iCs/>
      <w:color w:val="404040" w:themeColor="text1" w:themeTint="BF"/>
    </w:rPr>
  </w:style>
  <w:style w:type="character" w:customStyle="1" w:styleId="QuoteChar">
    <w:name w:val="Quote Char"/>
    <w:basedOn w:val="DefaultParagraphFont"/>
    <w:link w:val="Quote"/>
    <w:uiPriority w:val="29"/>
    <w:rsid w:val="00D05E4A"/>
    <w:rPr>
      <w:i/>
      <w:iCs/>
      <w:color w:val="404040" w:themeColor="text1" w:themeTint="BF"/>
    </w:rPr>
  </w:style>
  <w:style w:type="paragraph" w:styleId="ListParagraph">
    <w:name w:val="List Paragraph"/>
    <w:basedOn w:val="Normal"/>
    <w:uiPriority w:val="34"/>
    <w:qFormat/>
    <w:rsid w:val="00D05E4A"/>
    <w:pPr>
      <w:ind w:left="720"/>
      <w:contextualSpacing/>
    </w:pPr>
  </w:style>
  <w:style w:type="character" w:styleId="IntenseEmphasis">
    <w:name w:val="Intense Emphasis"/>
    <w:basedOn w:val="DefaultParagraphFont"/>
    <w:uiPriority w:val="21"/>
    <w:qFormat/>
    <w:rsid w:val="00D05E4A"/>
    <w:rPr>
      <w:i/>
      <w:iCs/>
      <w:color w:val="0F4761" w:themeColor="accent1" w:themeShade="BF"/>
    </w:rPr>
  </w:style>
  <w:style w:type="paragraph" w:styleId="IntenseQuote">
    <w:name w:val="Intense Quote"/>
    <w:basedOn w:val="Normal"/>
    <w:next w:val="Normal"/>
    <w:link w:val="IntenseQuoteChar"/>
    <w:uiPriority w:val="30"/>
    <w:qFormat/>
    <w:rsid w:val="00D05E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E4A"/>
    <w:rPr>
      <w:i/>
      <w:iCs/>
      <w:color w:val="0F4761" w:themeColor="accent1" w:themeShade="BF"/>
    </w:rPr>
  </w:style>
  <w:style w:type="character" w:styleId="IntenseReference">
    <w:name w:val="Intense Reference"/>
    <w:basedOn w:val="DefaultParagraphFont"/>
    <w:uiPriority w:val="32"/>
    <w:qFormat/>
    <w:rsid w:val="00D05E4A"/>
    <w:rPr>
      <w:b/>
      <w:bCs/>
      <w:smallCaps/>
      <w:color w:val="0F4761" w:themeColor="accent1" w:themeShade="BF"/>
      <w:spacing w:val="5"/>
    </w:rPr>
  </w:style>
  <w:style w:type="table" w:styleId="TableGrid">
    <w:name w:val="Table Grid"/>
    <w:basedOn w:val="TableNormal"/>
    <w:uiPriority w:val="39"/>
    <w:rsid w:val="00D05E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B7466"/>
    <w:rPr>
      <w:color w:val="467886" w:themeColor="hyperlink"/>
      <w:u w:val="single"/>
    </w:rPr>
  </w:style>
  <w:style w:type="character" w:customStyle="1" w:styleId="UnresolvedMention">
    <w:name w:val="Unresolved Mention"/>
    <w:basedOn w:val="DefaultParagraphFont"/>
    <w:uiPriority w:val="99"/>
    <w:semiHidden/>
    <w:unhideWhenUsed/>
    <w:rsid w:val="00AB7466"/>
    <w:rPr>
      <w:color w:val="605E5C"/>
      <w:shd w:val="clear" w:color="auto" w:fill="E1DFDD"/>
    </w:rPr>
  </w:style>
  <w:style w:type="paragraph" w:styleId="Revision">
    <w:name w:val="Revision"/>
    <w:hidden/>
    <w:uiPriority w:val="99"/>
    <w:semiHidden/>
    <w:rsid w:val="00CD0ED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5E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E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E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E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E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E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E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E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E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E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E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E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E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E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E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E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E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E4A"/>
    <w:rPr>
      <w:rFonts w:eastAsiaTheme="majorEastAsia" w:cstheme="majorBidi"/>
      <w:color w:val="272727" w:themeColor="text1" w:themeTint="D8"/>
    </w:rPr>
  </w:style>
  <w:style w:type="paragraph" w:styleId="Title">
    <w:name w:val="Title"/>
    <w:basedOn w:val="Normal"/>
    <w:next w:val="Normal"/>
    <w:link w:val="TitleChar"/>
    <w:uiPriority w:val="10"/>
    <w:qFormat/>
    <w:rsid w:val="00D05E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E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E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E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E4A"/>
    <w:pPr>
      <w:spacing w:before="160"/>
      <w:jc w:val="center"/>
    </w:pPr>
    <w:rPr>
      <w:i/>
      <w:iCs/>
      <w:color w:val="404040" w:themeColor="text1" w:themeTint="BF"/>
    </w:rPr>
  </w:style>
  <w:style w:type="character" w:customStyle="1" w:styleId="QuoteChar">
    <w:name w:val="Quote Char"/>
    <w:basedOn w:val="DefaultParagraphFont"/>
    <w:link w:val="Quote"/>
    <w:uiPriority w:val="29"/>
    <w:rsid w:val="00D05E4A"/>
    <w:rPr>
      <w:i/>
      <w:iCs/>
      <w:color w:val="404040" w:themeColor="text1" w:themeTint="BF"/>
    </w:rPr>
  </w:style>
  <w:style w:type="paragraph" w:styleId="ListParagraph">
    <w:name w:val="List Paragraph"/>
    <w:basedOn w:val="Normal"/>
    <w:uiPriority w:val="34"/>
    <w:qFormat/>
    <w:rsid w:val="00D05E4A"/>
    <w:pPr>
      <w:ind w:left="720"/>
      <w:contextualSpacing/>
    </w:pPr>
  </w:style>
  <w:style w:type="character" w:styleId="IntenseEmphasis">
    <w:name w:val="Intense Emphasis"/>
    <w:basedOn w:val="DefaultParagraphFont"/>
    <w:uiPriority w:val="21"/>
    <w:qFormat/>
    <w:rsid w:val="00D05E4A"/>
    <w:rPr>
      <w:i/>
      <w:iCs/>
      <w:color w:val="0F4761" w:themeColor="accent1" w:themeShade="BF"/>
    </w:rPr>
  </w:style>
  <w:style w:type="paragraph" w:styleId="IntenseQuote">
    <w:name w:val="Intense Quote"/>
    <w:basedOn w:val="Normal"/>
    <w:next w:val="Normal"/>
    <w:link w:val="IntenseQuoteChar"/>
    <w:uiPriority w:val="30"/>
    <w:qFormat/>
    <w:rsid w:val="00D05E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E4A"/>
    <w:rPr>
      <w:i/>
      <w:iCs/>
      <w:color w:val="0F4761" w:themeColor="accent1" w:themeShade="BF"/>
    </w:rPr>
  </w:style>
  <w:style w:type="character" w:styleId="IntenseReference">
    <w:name w:val="Intense Reference"/>
    <w:basedOn w:val="DefaultParagraphFont"/>
    <w:uiPriority w:val="32"/>
    <w:qFormat/>
    <w:rsid w:val="00D05E4A"/>
    <w:rPr>
      <w:b/>
      <w:bCs/>
      <w:smallCaps/>
      <w:color w:val="0F4761" w:themeColor="accent1" w:themeShade="BF"/>
      <w:spacing w:val="5"/>
    </w:rPr>
  </w:style>
  <w:style w:type="table" w:styleId="TableGrid">
    <w:name w:val="Table Grid"/>
    <w:basedOn w:val="TableNormal"/>
    <w:uiPriority w:val="39"/>
    <w:rsid w:val="00D05E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B7466"/>
    <w:rPr>
      <w:color w:val="467886" w:themeColor="hyperlink"/>
      <w:u w:val="single"/>
    </w:rPr>
  </w:style>
  <w:style w:type="character" w:customStyle="1" w:styleId="UnresolvedMention">
    <w:name w:val="Unresolved Mention"/>
    <w:basedOn w:val="DefaultParagraphFont"/>
    <w:uiPriority w:val="99"/>
    <w:semiHidden/>
    <w:unhideWhenUsed/>
    <w:rsid w:val="00AB7466"/>
    <w:rPr>
      <w:color w:val="605E5C"/>
      <w:shd w:val="clear" w:color="auto" w:fill="E1DFDD"/>
    </w:rPr>
  </w:style>
  <w:style w:type="paragraph" w:styleId="Revision">
    <w:name w:val="Revision"/>
    <w:hidden/>
    <w:uiPriority w:val="99"/>
    <w:semiHidden/>
    <w:rsid w:val="00CD0E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Mahamaya Lifesciences</dc:creator>
  <cp:keywords/>
  <dc:description/>
  <cp:lastModifiedBy>H P NITESH</cp:lastModifiedBy>
  <cp:revision>30</cp:revision>
  <dcterms:created xsi:type="dcterms:W3CDTF">2026-01-29T05:11:00Z</dcterms:created>
  <dcterms:modified xsi:type="dcterms:W3CDTF">2026-10-10T07:20:00Z</dcterms:modified>
</cp:coreProperties>
</file>